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4F1DB" w14:textId="3C4B1636" w:rsidR="00AE59D2" w:rsidRDefault="00AE59D2" w:rsidP="00AE5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hu-HU"/>
          <w14:ligatures w14:val="none"/>
        </w:rPr>
      </w:pPr>
      <w:r w:rsidRPr="00AE59D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hu-HU"/>
          <w14:ligatures w14:val="none"/>
        </w:rPr>
        <w:t>Műszaki leírás</w:t>
      </w:r>
    </w:p>
    <w:p w14:paraId="5990392C" w14:textId="77777777" w:rsidR="00B75CEB" w:rsidRDefault="00B75CEB" w:rsidP="00AE5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hu-HU"/>
          <w14:ligatures w14:val="none"/>
        </w:rPr>
      </w:pPr>
    </w:p>
    <w:p w14:paraId="51BAF60D" w14:textId="1AC4ABD4" w:rsidR="00AE59D2" w:rsidRDefault="00295477" w:rsidP="00F9485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„</w:t>
      </w:r>
      <w:r w:rsidR="000028F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Homlokzati nyílászárók cs</w:t>
      </w:r>
      <w:r w:rsidR="00776B04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eréje</w:t>
      </w:r>
      <w:r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 xml:space="preserve"> a Fővárosi Állat- és Növ</w:t>
      </w:r>
      <w:r w:rsidR="0036668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é</w:t>
      </w:r>
      <w:r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nykert Vadállatmentő Központjában”</w:t>
      </w:r>
      <w:r w:rsidR="005E5CAE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 xml:space="preserve"> beszerzési eljáráshoz</w:t>
      </w:r>
    </w:p>
    <w:p w14:paraId="6C17266A" w14:textId="77777777" w:rsidR="00E32CA9" w:rsidRPr="00AE59D2" w:rsidRDefault="00E32CA9" w:rsidP="00F948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</w:p>
    <w:p w14:paraId="3DAE3E28" w14:textId="2C11A8D7" w:rsidR="00F726CD" w:rsidRPr="00F726CD" w:rsidRDefault="00F726CD" w:rsidP="00E32CA9">
      <w:pPr>
        <w:jc w:val="center"/>
        <w:rPr>
          <w:b/>
          <w:bCs/>
        </w:rPr>
      </w:pPr>
      <w:r w:rsidRPr="00F726CD">
        <w:rPr>
          <w:b/>
          <w:bCs/>
          <w:noProof/>
        </w:rPr>
        <w:drawing>
          <wp:inline distT="0" distB="0" distL="0" distR="0" wp14:anchorId="4459A225" wp14:editId="4F29A9D1">
            <wp:extent cx="4489450" cy="3367088"/>
            <wp:effectExtent l="0" t="0" r="6350" b="5080"/>
            <wp:docPr id="1205898395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124" cy="3369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7CDD8" w14:textId="77777777" w:rsidR="00F726CD" w:rsidRDefault="00F726CD" w:rsidP="0095185F">
      <w:pPr>
        <w:jc w:val="both"/>
        <w:rPr>
          <w:b/>
          <w:bCs/>
        </w:rPr>
      </w:pPr>
    </w:p>
    <w:p w14:paraId="2C9B23DF" w14:textId="2AB2BD41" w:rsidR="002D21DC" w:rsidRDefault="00D24D72" w:rsidP="0095185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0E1052">
        <w:rPr>
          <w:rFonts w:ascii="Times New Roman" w:hAnsi="Times New Roman" w:cs="Times New Roman"/>
          <w:sz w:val="24"/>
          <w:szCs w:val="24"/>
        </w:rPr>
        <w:t>műemlék épületben helyet kapó Vadállatmentő</w:t>
      </w:r>
      <w:r>
        <w:rPr>
          <w:rFonts w:ascii="Times New Roman" w:hAnsi="Times New Roman" w:cs="Times New Roman"/>
          <w:sz w:val="24"/>
          <w:szCs w:val="24"/>
        </w:rPr>
        <w:t xml:space="preserve"> Központ</w:t>
      </w:r>
      <w:r w:rsidR="007A14BD">
        <w:rPr>
          <w:rFonts w:ascii="Times New Roman" w:hAnsi="Times New Roman" w:cs="Times New Roman"/>
          <w:sz w:val="24"/>
          <w:szCs w:val="24"/>
        </w:rPr>
        <w:t>ban a</w:t>
      </w:r>
      <w:r w:rsidR="007A14BD" w:rsidRPr="007A14BD">
        <w:rPr>
          <w:rFonts w:ascii="Times New Roman" w:hAnsi="Times New Roman" w:cs="Times New Roman"/>
          <w:sz w:val="24"/>
          <w:szCs w:val="24"/>
        </w:rPr>
        <w:t xml:space="preserve"> 2005. évi átépítés során került sor valamennyi nyílászáró cseréjére, </w:t>
      </w:r>
      <w:r w:rsidR="007A14BD">
        <w:rPr>
          <w:rFonts w:ascii="Times New Roman" w:hAnsi="Times New Roman" w:cs="Times New Roman"/>
          <w:sz w:val="24"/>
          <w:szCs w:val="24"/>
        </w:rPr>
        <w:t xml:space="preserve">ekkor </w:t>
      </w:r>
      <w:r w:rsidR="00E50E84">
        <w:rPr>
          <w:rFonts w:ascii="Times New Roman" w:hAnsi="Times New Roman" w:cs="Times New Roman"/>
          <w:sz w:val="24"/>
          <w:szCs w:val="24"/>
        </w:rPr>
        <w:t xml:space="preserve">kerültek </w:t>
      </w:r>
      <w:r w:rsidR="007A14BD" w:rsidRPr="007A14BD">
        <w:rPr>
          <w:rFonts w:ascii="Times New Roman" w:hAnsi="Times New Roman" w:cs="Times New Roman"/>
          <w:sz w:val="24"/>
          <w:szCs w:val="24"/>
        </w:rPr>
        <w:t xml:space="preserve">a tömör raktárajtók helyére hőszigetelt </w:t>
      </w:r>
      <w:proofErr w:type="spellStart"/>
      <w:r w:rsidR="007A14BD" w:rsidRPr="007A14BD">
        <w:rPr>
          <w:rFonts w:ascii="Times New Roman" w:hAnsi="Times New Roman" w:cs="Times New Roman"/>
          <w:sz w:val="24"/>
          <w:szCs w:val="24"/>
        </w:rPr>
        <w:t>üvegezésű</w:t>
      </w:r>
      <w:proofErr w:type="spellEnd"/>
      <w:r w:rsidR="007A14BD" w:rsidRPr="007A14BD">
        <w:rPr>
          <w:rFonts w:ascii="Times New Roman" w:hAnsi="Times New Roman" w:cs="Times New Roman"/>
          <w:sz w:val="24"/>
          <w:szCs w:val="24"/>
        </w:rPr>
        <w:t xml:space="preserve">, új szerkezetek. Ezek a nyílászárók az elmúlt húsz év során műszakilag </w:t>
      </w:r>
      <w:proofErr w:type="spellStart"/>
      <w:r w:rsidR="007A14BD" w:rsidRPr="007A14BD">
        <w:rPr>
          <w:rFonts w:ascii="Times New Roman" w:hAnsi="Times New Roman" w:cs="Times New Roman"/>
          <w:sz w:val="24"/>
          <w:szCs w:val="24"/>
        </w:rPr>
        <w:t>elhasználódtak</w:t>
      </w:r>
      <w:proofErr w:type="spellEnd"/>
      <w:r w:rsidR="007A14BD" w:rsidRPr="007A14BD">
        <w:rPr>
          <w:rFonts w:ascii="Times New Roman" w:hAnsi="Times New Roman" w:cs="Times New Roman"/>
          <w:sz w:val="24"/>
          <w:szCs w:val="24"/>
        </w:rPr>
        <w:t>, állapotuk indokolttá teszi cseréjüket. A csere</w:t>
      </w:r>
      <w:r w:rsidR="00D316A6">
        <w:rPr>
          <w:rFonts w:ascii="Times New Roman" w:hAnsi="Times New Roman" w:cs="Times New Roman"/>
          <w:sz w:val="24"/>
          <w:szCs w:val="24"/>
        </w:rPr>
        <w:t xml:space="preserve"> során elvárás a</w:t>
      </w:r>
      <w:r w:rsidR="0026429C">
        <w:rPr>
          <w:rFonts w:ascii="Times New Roman" w:hAnsi="Times New Roman" w:cs="Times New Roman"/>
          <w:sz w:val="24"/>
          <w:szCs w:val="24"/>
        </w:rPr>
        <w:t xml:space="preserve"> meglévő homlokzati megjelenés megtartása, </w:t>
      </w:r>
      <w:r w:rsidR="004250D6">
        <w:rPr>
          <w:rFonts w:ascii="Times New Roman" w:hAnsi="Times New Roman" w:cs="Times New Roman"/>
          <w:sz w:val="24"/>
          <w:szCs w:val="24"/>
        </w:rPr>
        <w:t>k</w:t>
      </w:r>
      <w:r w:rsidR="007A14BD" w:rsidRPr="007A14BD">
        <w:rPr>
          <w:rFonts w:ascii="Times New Roman" w:hAnsi="Times New Roman" w:cs="Times New Roman"/>
          <w:sz w:val="24"/>
          <w:szCs w:val="24"/>
        </w:rPr>
        <w:t>orszerűbb</w:t>
      </w:r>
      <w:r w:rsidR="004250D6">
        <w:rPr>
          <w:rFonts w:ascii="Times New Roman" w:hAnsi="Times New Roman" w:cs="Times New Roman"/>
          <w:sz w:val="24"/>
          <w:szCs w:val="24"/>
        </w:rPr>
        <w:t xml:space="preserve">, </w:t>
      </w:r>
      <w:r w:rsidR="007A14BD" w:rsidRPr="007A14BD">
        <w:rPr>
          <w:rFonts w:ascii="Times New Roman" w:hAnsi="Times New Roman" w:cs="Times New Roman"/>
          <w:sz w:val="24"/>
          <w:szCs w:val="24"/>
        </w:rPr>
        <w:t>jobb minőségű</w:t>
      </w:r>
      <w:r w:rsidR="004250D6">
        <w:rPr>
          <w:rFonts w:ascii="Times New Roman" w:hAnsi="Times New Roman" w:cs="Times New Roman"/>
          <w:sz w:val="24"/>
          <w:szCs w:val="24"/>
        </w:rPr>
        <w:t xml:space="preserve"> és tartósabb</w:t>
      </w:r>
      <w:r w:rsidR="007A14BD" w:rsidRPr="007A14BD">
        <w:rPr>
          <w:rFonts w:ascii="Times New Roman" w:hAnsi="Times New Roman" w:cs="Times New Roman"/>
          <w:sz w:val="24"/>
          <w:szCs w:val="24"/>
        </w:rPr>
        <w:t xml:space="preserve"> szerkezetek beépítés</w:t>
      </w:r>
      <w:r w:rsidR="004250D6">
        <w:rPr>
          <w:rFonts w:ascii="Times New Roman" w:hAnsi="Times New Roman" w:cs="Times New Roman"/>
          <w:sz w:val="24"/>
          <w:szCs w:val="24"/>
        </w:rPr>
        <w:t>ével.</w:t>
      </w:r>
    </w:p>
    <w:p w14:paraId="48C0E772" w14:textId="77777777" w:rsidR="00081C64" w:rsidRPr="007A14BD" w:rsidRDefault="00081C64" w:rsidP="0095185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7839C2" w14:textId="482D017B" w:rsidR="00C60B25" w:rsidRDefault="00C60B25" w:rsidP="0095185F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csere csak az ajtókat érinti, az ablakokat nem. </w:t>
      </w:r>
      <w:r w:rsidR="00655372">
        <w:rPr>
          <w:rFonts w:ascii="Times New Roman" w:eastAsia="Times New Roman" w:hAnsi="Times New Roman" w:cs="Times New Roman"/>
          <w:sz w:val="24"/>
          <w:szCs w:val="24"/>
          <w:lang w:eastAsia="hu-HU"/>
        </w:rPr>
        <w:t>A tokok megtartása mellett</w:t>
      </w:r>
      <w:r w:rsidR="00B6362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55372">
        <w:rPr>
          <w:rFonts w:ascii="Times New Roman" w:eastAsia="Times New Roman" w:hAnsi="Times New Roman" w:cs="Times New Roman"/>
          <w:sz w:val="24"/>
          <w:szCs w:val="24"/>
          <w:lang w:eastAsia="hu-HU"/>
        </w:rPr>
        <w:t>az ajtószárnyakat</w:t>
      </w:r>
      <w:r w:rsidR="0058490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úgy kell </w:t>
      </w:r>
      <w:r w:rsidR="006553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cserélni, hogy </w:t>
      </w:r>
      <w:r w:rsidR="00D24B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mind a </w:t>
      </w:r>
      <w:r w:rsidR="00673D93">
        <w:rPr>
          <w:rFonts w:ascii="Times New Roman" w:eastAsia="Times New Roman" w:hAnsi="Times New Roman" w:cs="Times New Roman"/>
          <w:sz w:val="24"/>
          <w:szCs w:val="24"/>
          <w:lang w:eastAsia="hu-HU"/>
        </w:rPr>
        <w:t>függőleges</w:t>
      </w:r>
      <w:r w:rsidR="00D24BBC">
        <w:rPr>
          <w:rFonts w:ascii="Times New Roman" w:eastAsia="Times New Roman" w:hAnsi="Times New Roman" w:cs="Times New Roman"/>
          <w:sz w:val="24"/>
          <w:szCs w:val="24"/>
          <w:lang w:eastAsia="hu-HU"/>
        </w:rPr>
        <w:t>, mind a</w:t>
      </w:r>
      <w:r w:rsidR="00673D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vízszintes</w:t>
      </w:r>
      <w:r w:rsidR="00D24B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elemek (</w:t>
      </w:r>
      <w:r w:rsidR="00D910E1">
        <w:rPr>
          <w:rFonts w:ascii="Times New Roman" w:eastAsia="Times New Roman" w:hAnsi="Times New Roman" w:cs="Times New Roman"/>
          <w:sz w:val="24"/>
          <w:szCs w:val="24"/>
          <w:lang w:eastAsia="hu-HU"/>
        </w:rPr>
        <w:t>zsanérok, pántok</w:t>
      </w:r>
      <w:r w:rsidR="00D24BBC">
        <w:rPr>
          <w:rFonts w:ascii="Times New Roman" w:eastAsia="Times New Roman" w:hAnsi="Times New Roman" w:cs="Times New Roman"/>
          <w:sz w:val="24"/>
          <w:szCs w:val="24"/>
          <w:lang w:eastAsia="hu-HU"/>
        </w:rPr>
        <w:t>) – a jobb tehe</w:t>
      </w:r>
      <w:r w:rsidR="00D71DF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reloszlás, </w:t>
      </w:r>
      <w:r w:rsidR="00D76005">
        <w:rPr>
          <w:rFonts w:ascii="Times New Roman" w:eastAsia="Times New Roman" w:hAnsi="Times New Roman" w:cs="Times New Roman"/>
          <w:sz w:val="24"/>
          <w:szCs w:val="24"/>
          <w:lang w:eastAsia="hu-HU"/>
        </w:rPr>
        <w:t>teher</w:t>
      </w:r>
      <w:r w:rsidR="00D24B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viselés miatt </w:t>
      </w:r>
      <w:r w:rsidR="00673D93">
        <w:rPr>
          <w:rFonts w:ascii="Times New Roman" w:eastAsia="Times New Roman" w:hAnsi="Times New Roman" w:cs="Times New Roman"/>
          <w:sz w:val="24"/>
          <w:szCs w:val="24"/>
          <w:lang w:eastAsia="hu-HU"/>
        </w:rPr>
        <w:t>–</w:t>
      </w:r>
      <w:r w:rsidR="00673D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hossza</w:t>
      </w:r>
      <w:r w:rsidR="00E61E0E">
        <w:rPr>
          <w:rFonts w:ascii="Times New Roman" w:eastAsia="Times New Roman" w:hAnsi="Times New Roman" w:cs="Times New Roman"/>
          <w:sz w:val="24"/>
          <w:szCs w:val="24"/>
          <w:lang w:eastAsia="hu-HU"/>
        </w:rPr>
        <w:t>bbak</w:t>
      </w:r>
      <w:r w:rsidR="007F2D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legyenek</w:t>
      </w:r>
      <w:r w:rsidR="00673D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E61E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eredeti elemektől, illetve </w:t>
      </w:r>
      <w:r w:rsidR="00D71DF0">
        <w:rPr>
          <w:rFonts w:ascii="Times New Roman" w:eastAsia="Times New Roman" w:hAnsi="Times New Roman" w:cs="Times New Roman"/>
          <w:sz w:val="24"/>
          <w:szCs w:val="24"/>
          <w:lang w:eastAsia="hu-HU"/>
        </w:rPr>
        <w:t>rögzítés</w:t>
      </w:r>
      <w:r w:rsidR="007F2D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ük </w:t>
      </w:r>
      <w:r w:rsidR="00B51F7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megerősítetten történjen. </w:t>
      </w:r>
    </w:p>
    <w:p w14:paraId="4B3AB836" w14:textId="77777777" w:rsidR="00853A88" w:rsidRDefault="00853A88" w:rsidP="0095185F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E6176F9" w14:textId="05AF8933" w:rsidR="00853A88" w:rsidRPr="00E32CA9" w:rsidRDefault="00853A88" w:rsidP="0095185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E32CA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Az íves kialakítású ajtók korábbi konszignációja rendelkezésre áll, a felhívás </w:t>
      </w:r>
      <w:r w:rsidR="00007050" w:rsidRPr="00E32CA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anyagának részét képezi, de felhívjuk az ajánlattevő figyelmét, hogy </w:t>
      </w:r>
      <w:r w:rsidR="006A39E7" w:rsidRPr="00E32CA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</w:t>
      </w:r>
      <w:r w:rsidR="0075095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részletek pontosítás</w:t>
      </w:r>
      <w:r w:rsidR="00F0185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ához</w:t>
      </w:r>
      <w:r w:rsidR="0075095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és ezáltal a </w:t>
      </w:r>
      <w:r w:rsidR="00F0185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helyes</w:t>
      </w:r>
      <w:r w:rsidR="007C78F2" w:rsidRPr="00E32CA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árajánlat meghatározásához </w:t>
      </w:r>
      <w:r w:rsidR="00E32CA9" w:rsidRPr="00E32CA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indokolt </w:t>
      </w:r>
      <w:r w:rsidR="007C78F2" w:rsidRPr="00E32CA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a </w:t>
      </w:r>
      <w:r w:rsidR="006A39E7" w:rsidRPr="00E32CA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helyszíni bejáráson való részvétel</w:t>
      </w:r>
      <w:r w:rsidR="00E32CA9" w:rsidRPr="00E32CA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! </w:t>
      </w:r>
    </w:p>
    <w:p w14:paraId="3502DDB1" w14:textId="69F625BD" w:rsidR="002D21DC" w:rsidRDefault="002D21DC" w:rsidP="0095185F">
      <w:pPr>
        <w:jc w:val="both"/>
        <w:rPr>
          <w:b/>
          <w:bCs/>
        </w:rPr>
      </w:pPr>
      <w:r w:rsidRPr="002D21DC">
        <w:rPr>
          <w:b/>
          <w:bCs/>
          <w:i/>
          <w:iCs/>
        </w:rPr>
        <w:t> </w:t>
      </w:r>
    </w:p>
    <w:sectPr w:rsidR="002D21DC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38A8D" w14:textId="77777777" w:rsidR="00A058F2" w:rsidRDefault="00A058F2" w:rsidP="0095185F">
      <w:pPr>
        <w:spacing w:after="0" w:line="240" w:lineRule="auto"/>
      </w:pPr>
      <w:r>
        <w:separator/>
      </w:r>
    </w:p>
  </w:endnote>
  <w:endnote w:type="continuationSeparator" w:id="0">
    <w:p w14:paraId="177D57C4" w14:textId="77777777" w:rsidR="00A058F2" w:rsidRDefault="00A058F2" w:rsidP="00951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7060565"/>
      <w:docPartObj>
        <w:docPartGallery w:val="Page Numbers (Bottom of Page)"/>
        <w:docPartUnique/>
      </w:docPartObj>
    </w:sdtPr>
    <w:sdtEndPr/>
    <w:sdtContent>
      <w:p w14:paraId="054AAC4B" w14:textId="1CE9C8F3" w:rsidR="002D21E8" w:rsidRDefault="002D21E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DE869C" w14:textId="77777777" w:rsidR="002D21E8" w:rsidRDefault="002D21E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AF706" w14:textId="77777777" w:rsidR="00A058F2" w:rsidRDefault="00A058F2" w:rsidP="0095185F">
      <w:pPr>
        <w:spacing w:after="0" w:line="240" w:lineRule="auto"/>
      </w:pPr>
      <w:r>
        <w:separator/>
      </w:r>
    </w:p>
  </w:footnote>
  <w:footnote w:type="continuationSeparator" w:id="0">
    <w:p w14:paraId="3A1A9239" w14:textId="77777777" w:rsidR="00A058F2" w:rsidRDefault="00A058F2" w:rsidP="00951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csostblzat"/>
      <w:tblW w:w="0" w:type="auto"/>
      <w:tblLook w:val="04A0" w:firstRow="1" w:lastRow="0" w:firstColumn="1" w:lastColumn="0" w:noHBand="0" w:noVBand="1"/>
    </w:tblPr>
    <w:tblGrid>
      <w:gridCol w:w="4673"/>
      <w:gridCol w:w="4389"/>
    </w:tblGrid>
    <w:tr w:rsidR="002D21E8" w:rsidRPr="004265AE" w14:paraId="07692843" w14:textId="77777777" w:rsidTr="00441C54">
      <w:tc>
        <w:tcPr>
          <w:tcW w:w="4673" w:type="dxa"/>
          <w:tcBorders>
            <w:top w:val="nil"/>
            <w:left w:val="nil"/>
            <w:bottom w:val="single" w:sz="4" w:space="0" w:color="92D050"/>
            <w:right w:val="nil"/>
          </w:tcBorders>
        </w:tcPr>
        <w:p w14:paraId="52F8ECBC" w14:textId="77777777" w:rsidR="002D21E8" w:rsidRPr="00C21AC6" w:rsidRDefault="002D21E8" w:rsidP="002D21E8">
          <w:pPr>
            <w:pStyle w:val="lfej"/>
            <w:tabs>
              <w:tab w:val="clear" w:pos="4536"/>
            </w:tabs>
            <w:rPr>
              <w:rFonts w:ascii="Garamond" w:hAnsi="Garamond" w:cstheme="majorHAnsi"/>
              <w:noProof/>
              <w:lang w:eastAsia="hu-HU"/>
            </w:rPr>
          </w:pPr>
          <w:bookmarkStart w:id="0" w:name="_Hlk34736893"/>
          <w:bookmarkStart w:id="1" w:name="_Hlk34736894"/>
          <w:r w:rsidRPr="00C21AC6">
            <w:rPr>
              <w:rFonts w:ascii="Garamond" w:hAnsi="Garamond" w:cstheme="majorHAnsi"/>
              <w:noProof/>
              <w:lang w:eastAsia="hu-HU"/>
            </w:rPr>
            <w:drawing>
              <wp:anchor distT="0" distB="0" distL="114300" distR="114300" simplePos="0" relativeHeight="251659264" behindDoc="1" locked="0" layoutInCell="1" allowOverlap="1" wp14:anchorId="0998FA5D" wp14:editId="4CC97928">
                <wp:simplePos x="0" y="0"/>
                <wp:positionH relativeFrom="column">
                  <wp:posOffset>-15875</wp:posOffset>
                </wp:positionH>
                <wp:positionV relativeFrom="paragraph">
                  <wp:posOffset>35560</wp:posOffset>
                </wp:positionV>
                <wp:extent cx="506095" cy="781050"/>
                <wp:effectExtent l="0" t="0" r="8255" b="0"/>
                <wp:wrapTight wrapText="bothSides">
                  <wp:wrapPolygon edited="0">
                    <wp:start x="0" y="0"/>
                    <wp:lineTo x="0" y="21073"/>
                    <wp:lineTo x="21139" y="21073"/>
                    <wp:lineTo x="21139" y="0"/>
                    <wp:lineTo x="0" y="0"/>
                  </wp:wrapPolygon>
                </wp:wrapTight>
                <wp:docPr id="1757016372" name="Kép 1757016372" descr="A képen rajz, étel látható&#10;&#10;Automatikusan generált leírá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6095" cy="781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29EBF84" w14:textId="77777777" w:rsidR="002D21E8" w:rsidRPr="00C21AC6" w:rsidRDefault="002D21E8" w:rsidP="002D21E8">
          <w:pPr>
            <w:pStyle w:val="lfej"/>
            <w:tabs>
              <w:tab w:val="clear" w:pos="4536"/>
            </w:tabs>
            <w:spacing w:before="60"/>
            <w:rPr>
              <w:rFonts w:ascii="Garamond" w:hAnsi="Garamond" w:cstheme="majorHAnsi"/>
              <w:b/>
              <w:bCs/>
              <w:noProof/>
              <w:spacing w:val="20"/>
              <w:lang w:eastAsia="hu-HU"/>
            </w:rPr>
          </w:pPr>
          <w:r w:rsidRPr="00C21AC6">
            <w:rPr>
              <w:rFonts w:ascii="Garamond" w:hAnsi="Garamond" w:cstheme="majorHAnsi"/>
              <w:b/>
              <w:bCs/>
              <w:noProof/>
              <w:spacing w:val="20"/>
              <w:lang w:eastAsia="hu-HU"/>
            </w:rPr>
            <w:t>Fővárosi Állat -és Növénykert</w:t>
          </w:r>
        </w:p>
        <w:p w14:paraId="0F25EEEB" w14:textId="77777777" w:rsidR="002D21E8" w:rsidRPr="00C21AC6" w:rsidRDefault="002D21E8" w:rsidP="002D21E8">
          <w:pPr>
            <w:pStyle w:val="lfej"/>
            <w:tabs>
              <w:tab w:val="clear" w:pos="4536"/>
            </w:tabs>
            <w:ind w:firstLine="708"/>
            <w:rPr>
              <w:rFonts w:ascii="Garamond" w:hAnsi="Garamond" w:cstheme="majorHAnsi"/>
              <w:noProof/>
              <w:lang w:eastAsia="hu-HU"/>
            </w:rPr>
          </w:pPr>
        </w:p>
        <w:p w14:paraId="3D4B572E" w14:textId="77777777" w:rsidR="002D21E8" w:rsidRPr="00C21AC6" w:rsidRDefault="002D21E8" w:rsidP="002D21E8">
          <w:pPr>
            <w:pStyle w:val="lfej"/>
            <w:tabs>
              <w:tab w:val="clear" w:pos="4536"/>
            </w:tabs>
            <w:rPr>
              <w:rFonts w:ascii="Garamond" w:hAnsi="Garamond" w:cstheme="majorHAnsi"/>
              <w:noProof/>
              <w:lang w:eastAsia="hu-HU"/>
            </w:rPr>
          </w:pPr>
        </w:p>
      </w:tc>
      <w:tc>
        <w:tcPr>
          <w:tcW w:w="4389" w:type="dxa"/>
          <w:tcBorders>
            <w:top w:val="nil"/>
            <w:left w:val="nil"/>
            <w:bottom w:val="single" w:sz="4" w:space="0" w:color="92D050"/>
            <w:right w:val="nil"/>
          </w:tcBorders>
        </w:tcPr>
        <w:p w14:paraId="41B63DAF" w14:textId="603527EE" w:rsidR="002D21E8" w:rsidRPr="00C21AC6" w:rsidRDefault="002D21E8" w:rsidP="002D21E8">
          <w:pPr>
            <w:pStyle w:val="lfej"/>
            <w:tabs>
              <w:tab w:val="clear" w:pos="4536"/>
            </w:tabs>
            <w:rPr>
              <w:rFonts w:ascii="Garamond" w:hAnsi="Garamond" w:cstheme="majorHAnsi"/>
              <w:noProof/>
              <w:sz w:val="18"/>
              <w:szCs w:val="18"/>
              <w:lang w:eastAsia="hu-HU"/>
            </w:rPr>
          </w:pPr>
        </w:p>
      </w:tc>
    </w:tr>
    <w:bookmarkEnd w:id="0"/>
    <w:bookmarkEnd w:id="1"/>
  </w:tbl>
  <w:p w14:paraId="724985A5" w14:textId="77777777" w:rsidR="002D21E8" w:rsidRDefault="002D21E8" w:rsidP="002D21E8">
    <w:pPr>
      <w:pStyle w:val="lfej"/>
    </w:pPr>
  </w:p>
  <w:p w14:paraId="13F16BF6" w14:textId="77777777" w:rsidR="002D21E8" w:rsidRDefault="002D21E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227DD"/>
    <w:multiLevelType w:val="hybridMultilevel"/>
    <w:tmpl w:val="FC1C544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F442AD"/>
    <w:multiLevelType w:val="hybridMultilevel"/>
    <w:tmpl w:val="32809FF8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F5647B"/>
    <w:multiLevelType w:val="hybridMultilevel"/>
    <w:tmpl w:val="86EC7834"/>
    <w:lvl w:ilvl="0" w:tplc="EE68976A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EE4BBF"/>
    <w:multiLevelType w:val="hybridMultilevel"/>
    <w:tmpl w:val="33FA4A76"/>
    <w:lvl w:ilvl="0" w:tplc="EBDCFD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352621">
    <w:abstractNumId w:val="3"/>
  </w:num>
  <w:num w:numId="2" w16cid:durableId="1278097367">
    <w:abstractNumId w:val="2"/>
  </w:num>
  <w:num w:numId="3" w16cid:durableId="502207528">
    <w:abstractNumId w:val="0"/>
  </w:num>
  <w:num w:numId="4" w16cid:durableId="8916910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080"/>
    <w:rsid w:val="000028F8"/>
    <w:rsid w:val="00007050"/>
    <w:rsid w:val="0001264F"/>
    <w:rsid w:val="00056B1E"/>
    <w:rsid w:val="000717EE"/>
    <w:rsid w:val="00081C64"/>
    <w:rsid w:val="000A63B7"/>
    <w:rsid w:val="000B5AE7"/>
    <w:rsid w:val="000E1052"/>
    <w:rsid w:val="00106A12"/>
    <w:rsid w:val="00107F15"/>
    <w:rsid w:val="00116B1B"/>
    <w:rsid w:val="0013669B"/>
    <w:rsid w:val="001C4BBE"/>
    <w:rsid w:val="001C6237"/>
    <w:rsid w:val="001C6E8C"/>
    <w:rsid w:val="001E3286"/>
    <w:rsid w:val="001E530B"/>
    <w:rsid w:val="00227872"/>
    <w:rsid w:val="0026429C"/>
    <w:rsid w:val="0027488E"/>
    <w:rsid w:val="00295477"/>
    <w:rsid w:val="00296F7C"/>
    <w:rsid w:val="002D21DC"/>
    <w:rsid w:val="002D21E8"/>
    <w:rsid w:val="002E2AA9"/>
    <w:rsid w:val="002E2FFE"/>
    <w:rsid w:val="002F31DB"/>
    <w:rsid w:val="002F3803"/>
    <w:rsid w:val="002F38B6"/>
    <w:rsid w:val="00315CC8"/>
    <w:rsid w:val="00326EEC"/>
    <w:rsid w:val="00333C3E"/>
    <w:rsid w:val="00334DC8"/>
    <w:rsid w:val="00335E32"/>
    <w:rsid w:val="00335FD4"/>
    <w:rsid w:val="00336DD7"/>
    <w:rsid w:val="00341E41"/>
    <w:rsid w:val="00360629"/>
    <w:rsid w:val="00366681"/>
    <w:rsid w:val="003A6CE7"/>
    <w:rsid w:val="003B78AD"/>
    <w:rsid w:val="003C51AD"/>
    <w:rsid w:val="003D0EE9"/>
    <w:rsid w:val="003F5062"/>
    <w:rsid w:val="004250D6"/>
    <w:rsid w:val="00431696"/>
    <w:rsid w:val="00431BDF"/>
    <w:rsid w:val="00437A8F"/>
    <w:rsid w:val="004409FC"/>
    <w:rsid w:val="004504C0"/>
    <w:rsid w:val="00464BBA"/>
    <w:rsid w:val="00472721"/>
    <w:rsid w:val="004807AC"/>
    <w:rsid w:val="00494F92"/>
    <w:rsid w:val="004A1640"/>
    <w:rsid w:val="004C5B75"/>
    <w:rsid w:val="00515953"/>
    <w:rsid w:val="00516C36"/>
    <w:rsid w:val="0053385F"/>
    <w:rsid w:val="00573AE8"/>
    <w:rsid w:val="00577A28"/>
    <w:rsid w:val="00584904"/>
    <w:rsid w:val="0058515B"/>
    <w:rsid w:val="005A3FEF"/>
    <w:rsid w:val="005B583F"/>
    <w:rsid w:val="005D302B"/>
    <w:rsid w:val="005E5CAE"/>
    <w:rsid w:val="006035C2"/>
    <w:rsid w:val="0062162E"/>
    <w:rsid w:val="00645B4F"/>
    <w:rsid w:val="00655372"/>
    <w:rsid w:val="0066596D"/>
    <w:rsid w:val="006729DD"/>
    <w:rsid w:val="00673D93"/>
    <w:rsid w:val="0068698C"/>
    <w:rsid w:val="006A1029"/>
    <w:rsid w:val="006A39E7"/>
    <w:rsid w:val="006A4949"/>
    <w:rsid w:val="006B465E"/>
    <w:rsid w:val="006B5D46"/>
    <w:rsid w:val="006F09EC"/>
    <w:rsid w:val="00711597"/>
    <w:rsid w:val="00716FD3"/>
    <w:rsid w:val="00746215"/>
    <w:rsid w:val="00750959"/>
    <w:rsid w:val="00774490"/>
    <w:rsid w:val="00776B04"/>
    <w:rsid w:val="00780491"/>
    <w:rsid w:val="0078632C"/>
    <w:rsid w:val="007A14BD"/>
    <w:rsid w:val="007B643C"/>
    <w:rsid w:val="007C6E60"/>
    <w:rsid w:val="007C78F2"/>
    <w:rsid w:val="007F2D65"/>
    <w:rsid w:val="0081502F"/>
    <w:rsid w:val="008215A5"/>
    <w:rsid w:val="0082375C"/>
    <w:rsid w:val="00831AD0"/>
    <w:rsid w:val="008425A9"/>
    <w:rsid w:val="00853A88"/>
    <w:rsid w:val="008816B1"/>
    <w:rsid w:val="00884080"/>
    <w:rsid w:val="00884B47"/>
    <w:rsid w:val="008909FC"/>
    <w:rsid w:val="008B3D41"/>
    <w:rsid w:val="008B6CFC"/>
    <w:rsid w:val="008C4342"/>
    <w:rsid w:val="008E4A03"/>
    <w:rsid w:val="009155F8"/>
    <w:rsid w:val="00930F5F"/>
    <w:rsid w:val="009449C4"/>
    <w:rsid w:val="0095185F"/>
    <w:rsid w:val="00956AA9"/>
    <w:rsid w:val="00972DB6"/>
    <w:rsid w:val="009743E8"/>
    <w:rsid w:val="00983523"/>
    <w:rsid w:val="009A17F6"/>
    <w:rsid w:val="009A5DC6"/>
    <w:rsid w:val="009C18E1"/>
    <w:rsid w:val="009D140F"/>
    <w:rsid w:val="009E267A"/>
    <w:rsid w:val="009F27BC"/>
    <w:rsid w:val="00A00B25"/>
    <w:rsid w:val="00A058F2"/>
    <w:rsid w:val="00A10CD1"/>
    <w:rsid w:val="00A256B1"/>
    <w:rsid w:val="00A37967"/>
    <w:rsid w:val="00A72D13"/>
    <w:rsid w:val="00A76FA2"/>
    <w:rsid w:val="00A83F87"/>
    <w:rsid w:val="00A87250"/>
    <w:rsid w:val="00AC5254"/>
    <w:rsid w:val="00AE59D2"/>
    <w:rsid w:val="00B062FB"/>
    <w:rsid w:val="00B359DC"/>
    <w:rsid w:val="00B446B2"/>
    <w:rsid w:val="00B51F79"/>
    <w:rsid w:val="00B61E12"/>
    <w:rsid w:val="00B63627"/>
    <w:rsid w:val="00B75CEB"/>
    <w:rsid w:val="00B913BA"/>
    <w:rsid w:val="00BD4CDF"/>
    <w:rsid w:val="00BE10FA"/>
    <w:rsid w:val="00C00FED"/>
    <w:rsid w:val="00C064B7"/>
    <w:rsid w:val="00C1151B"/>
    <w:rsid w:val="00C461F0"/>
    <w:rsid w:val="00C51AEF"/>
    <w:rsid w:val="00C60B25"/>
    <w:rsid w:val="00C641C8"/>
    <w:rsid w:val="00C76444"/>
    <w:rsid w:val="00C806D0"/>
    <w:rsid w:val="00C97964"/>
    <w:rsid w:val="00CD74E1"/>
    <w:rsid w:val="00CE7CB7"/>
    <w:rsid w:val="00CF4265"/>
    <w:rsid w:val="00CF58E2"/>
    <w:rsid w:val="00D04DFE"/>
    <w:rsid w:val="00D064DC"/>
    <w:rsid w:val="00D24BBC"/>
    <w:rsid w:val="00D24D72"/>
    <w:rsid w:val="00D316A6"/>
    <w:rsid w:val="00D4592E"/>
    <w:rsid w:val="00D71DF0"/>
    <w:rsid w:val="00D76005"/>
    <w:rsid w:val="00D845FA"/>
    <w:rsid w:val="00D910E1"/>
    <w:rsid w:val="00DC4C12"/>
    <w:rsid w:val="00DE0ADC"/>
    <w:rsid w:val="00DE1768"/>
    <w:rsid w:val="00DF1722"/>
    <w:rsid w:val="00DF4D4F"/>
    <w:rsid w:val="00E1039A"/>
    <w:rsid w:val="00E32CA9"/>
    <w:rsid w:val="00E41268"/>
    <w:rsid w:val="00E47850"/>
    <w:rsid w:val="00E50E84"/>
    <w:rsid w:val="00E61E0E"/>
    <w:rsid w:val="00E65821"/>
    <w:rsid w:val="00E752B4"/>
    <w:rsid w:val="00E76A7D"/>
    <w:rsid w:val="00E76BB4"/>
    <w:rsid w:val="00E85B74"/>
    <w:rsid w:val="00E92189"/>
    <w:rsid w:val="00E92922"/>
    <w:rsid w:val="00EA0210"/>
    <w:rsid w:val="00EB685F"/>
    <w:rsid w:val="00EC3AE7"/>
    <w:rsid w:val="00EF22BB"/>
    <w:rsid w:val="00F0185D"/>
    <w:rsid w:val="00F1493D"/>
    <w:rsid w:val="00F17A04"/>
    <w:rsid w:val="00F23402"/>
    <w:rsid w:val="00F30650"/>
    <w:rsid w:val="00F34AB5"/>
    <w:rsid w:val="00F726CD"/>
    <w:rsid w:val="00F94856"/>
    <w:rsid w:val="00FB0D95"/>
    <w:rsid w:val="00FD6FDB"/>
    <w:rsid w:val="00FE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A5C26"/>
  <w15:chartTrackingRefBased/>
  <w15:docId w15:val="{165D7964-D720-4BED-8081-E92B9D84B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840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840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840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840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840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840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840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840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840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840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840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840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84080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84080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8408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8408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8408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8408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840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8840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840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8840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840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88408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84080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884080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840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84080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84080"/>
    <w:rPr>
      <w:b/>
      <w:bCs/>
      <w:smallCaps/>
      <w:color w:val="2F5496" w:themeColor="accent1" w:themeShade="BF"/>
      <w:spacing w:val="5"/>
    </w:rPr>
  </w:style>
  <w:style w:type="paragraph" w:styleId="lfej">
    <w:name w:val="header"/>
    <w:basedOn w:val="Norml"/>
    <w:link w:val="lfejChar"/>
    <w:uiPriority w:val="99"/>
    <w:unhideWhenUsed/>
    <w:rsid w:val="00951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5185F"/>
  </w:style>
  <w:style w:type="paragraph" w:styleId="llb">
    <w:name w:val="footer"/>
    <w:basedOn w:val="Norml"/>
    <w:link w:val="llbChar"/>
    <w:uiPriority w:val="99"/>
    <w:unhideWhenUsed/>
    <w:rsid w:val="00951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5185F"/>
  </w:style>
  <w:style w:type="table" w:styleId="Rcsostblzat">
    <w:name w:val="Table Grid"/>
    <w:basedOn w:val="Normltblzat"/>
    <w:uiPriority w:val="39"/>
    <w:rsid w:val="002D21E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cxspmiddle">
    <w:name w:val="msolistparagraphcxspmiddle"/>
    <w:basedOn w:val="Norml"/>
    <w:uiPriority w:val="99"/>
    <w:rsid w:val="00EC3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6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3783C32DA61EE241B8ED472B329B7A5C" ma:contentTypeVersion="18" ma:contentTypeDescription="Új dokumentum létrehozása." ma:contentTypeScope="" ma:versionID="5d9dad1e2bb9fd89447c6ba657659c4e">
  <xsd:schema xmlns:xsd="http://www.w3.org/2001/XMLSchema" xmlns:xs="http://www.w3.org/2001/XMLSchema" xmlns:p="http://schemas.microsoft.com/office/2006/metadata/properties" xmlns:ns2="d72c80a2-6c67-4acd-af40-90f8cbd30dc6" xmlns:ns3="9c1b03fc-dd62-478c-82b2-4ed346bcc85f" targetNamespace="http://schemas.microsoft.com/office/2006/metadata/properties" ma:root="true" ma:fieldsID="0869432a0f1f6f1c840f67638ad3a124" ns2:_="" ns3:_="">
    <xsd:import namespace="d72c80a2-6c67-4acd-af40-90f8cbd30dc6"/>
    <xsd:import namespace="9c1b03fc-dd62-478c-82b2-4ed346bcc8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2c80a2-6c67-4acd-af40-90f8cbd30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Képcímkék" ma:readOnly="false" ma:fieldId="{5cf76f15-5ced-4ddc-b409-7134ff3c332f}" ma:taxonomyMulti="true" ma:sspId="07feed37-9b4c-4135-b89c-513e81cae2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b03fc-dd62-478c-82b2-4ed346bcc85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0ccf6dc-6222-4c60-ad24-be1a807c7b09}" ma:internalName="TaxCatchAll" ma:showField="CatchAllData" ma:web="9c1b03fc-dd62-478c-82b2-4ed346bcc8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1b03fc-dd62-478c-82b2-4ed346bcc85f" xsi:nil="true"/>
    <lcf76f155ced4ddcb4097134ff3c332f xmlns="d72c80a2-6c67-4acd-af40-90f8cbd30dc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0880F-8257-4AE0-8041-E36B6186E0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C00E20-86DC-4DE9-A273-D899C4255D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2c80a2-6c67-4acd-af40-90f8cbd30dc6"/>
    <ds:schemaRef ds:uri="9c1b03fc-dd62-478c-82b2-4ed346bcc8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A8E620-ECB2-4CA5-853F-47A0E8318819}">
  <ds:schemaRefs>
    <ds:schemaRef ds:uri="http://schemas.microsoft.com/office/2006/metadata/properties"/>
    <ds:schemaRef ds:uri="http://schemas.microsoft.com/office/infopath/2007/PartnerControls"/>
    <ds:schemaRef ds:uri="9c1b03fc-dd62-478c-82b2-4ed346bcc85f"/>
    <ds:schemaRef ds:uri="d72c80a2-6c67-4acd-af40-90f8cbd30dc6"/>
  </ds:schemaRefs>
</ds:datastoreItem>
</file>

<file path=customXml/itemProps4.xml><?xml version="1.0" encoding="utf-8"?>
<ds:datastoreItem xmlns:ds="http://schemas.openxmlformats.org/officeDocument/2006/customXml" ds:itemID="{0ECB68AD-578D-4C9D-80E7-50443DF08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148</Words>
  <Characters>1025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Hebema Office</dc:creator>
  <cp:keywords/>
  <dc:description/>
  <cp:lastModifiedBy>Oláh Tünde</cp:lastModifiedBy>
  <cp:revision>44</cp:revision>
  <dcterms:created xsi:type="dcterms:W3CDTF">2026-04-22T09:36:00Z</dcterms:created>
  <dcterms:modified xsi:type="dcterms:W3CDTF">2026-04-23T08:21:00Z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0x0101003783C32DA61EE241B8ED472B329B7A5C</vt:lpwstr>
  </property>
  <property fmtid="{D5CDD505-2E9C-101B-9397-08002B2CF9AE}" pid="3" name="MediaServiceImageTags">
    <vt:lpwstr/>
  </property>
</Properties>
</file>